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205366" w:rsidRPr="00BF5D7D" w:rsidRDefault="00205366" w:rsidP="00E32E8D">
      <w:pPr>
        <w:ind w:firstLine="709"/>
        <w:jc w:val="center"/>
        <w:rPr>
          <w:b/>
          <w:sz w:val="28"/>
          <w:szCs w:val="28"/>
        </w:rPr>
      </w:pPr>
      <w:r w:rsidRPr="00BF5D7D">
        <w:rPr>
          <w:b/>
          <w:sz w:val="28"/>
          <w:szCs w:val="28"/>
        </w:rPr>
        <w:t>АДМИНИСТРАЦИЯ</w:t>
      </w:r>
    </w:p>
    <w:p w:rsidR="00205366" w:rsidRPr="00BF5D7D" w:rsidRDefault="00BF5D7D" w:rsidP="00E32E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НОВОГОЛЬЕЛАНСКОГО  </w:t>
      </w:r>
      <w:r w:rsidR="00205366" w:rsidRPr="00BF5D7D">
        <w:rPr>
          <w:b/>
          <w:sz w:val="28"/>
          <w:szCs w:val="28"/>
        </w:rPr>
        <w:t>СЕЛЬСКОГО ПОСЕЛЕНИЯ</w:t>
      </w:r>
    </w:p>
    <w:p w:rsidR="00205366" w:rsidRPr="00BF5D7D" w:rsidRDefault="00205366" w:rsidP="00E32E8D">
      <w:pPr>
        <w:ind w:firstLine="709"/>
        <w:jc w:val="center"/>
        <w:rPr>
          <w:b/>
          <w:sz w:val="28"/>
          <w:szCs w:val="28"/>
        </w:rPr>
      </w:pPr>
      <w:r w:rsidRPr="00BF5D7D">
        <w:rPr>
          <w:b/>
          <w:sz w:val="28"/>
          <w:szCs w:val="28"/>
        </w:rPr>
        <w:t>ГРИБАНОВСКОГО МУНИЦИПАЛЬНОГО РАЙОНА</w:t>
      </w:r>
    </w:p>
    <w:p w:rsidR="00205366" w:rsidRPr="00BF5D7D" w:rsidRDefault="00205366" w:rsidP="00E32E8D">
      <w:pPr>
        <w:ind w:firstLine="709"/>
        <w:jc w:val="center"/>
        <w:rPr>
          <w:b/>
          <w:sz w:val="28"/>
          <w:szCs w:val="28"/>
        </w:rPr>
      </w:pPr>
      <w:r w:rsidRPr="00BF5D7D">
        <w:rPr>
          <w:b/>
          <w:sz w:val="28"/>
          <w:szCs w:val="28"/>
        </w:rPr>
        <w:t>ВОРОНЕЖСКОЙ ОБЛАСТИ</w:t>
      </w:r>
    </w:p>
    <w:p w:rsidR="00205366" w:rsidRPr="00BF5D7D" w:rsidRDefault="00205366" w:rsidP="00E32E8D">
      <w:pPr>
        <w:ind w:firstLine="709"/>
        <w:jc w:val="center"/>
        <w:rPr>
          <w:b/>
          <w:sz w:val="28"/>
          <w:szCs w:val="28"/>
        </w:rPr>
      </w:pPr>
    </w:p>
    <w:p w:rsidR="00205366" w:rsidRPr="00BF5D7D" w:rsidRDefault="00205366" w:rsidP="00E32E8D">
      <w:pPr>
        <w:ind w:firstLine="709"/>
        <w:jc w:val="center"/>
        <w:rPr>
          <w:b/>
          <w:sz w:val="28"/>
          <w:szCs w:val="28"/>
        </w:rPr>
      </w:pPr>
      <w:r w:rsidRPr="00BF5D7D">
        <w:rPr>
          <w:b/>
          <w:sz w:val="28"/>
          <w:szCs w:val="28"/>
        </w:rPr>
        <w:t>ПОСТАНОВЛЕНИЕ</w:t>
      </w:r>
    </w:p>
    <w:p w:rsidR="00205366" w:rsidRPr="00BF5D7D" w:rsidRDefault="00205366" w:rsidP="00E32E8D">
      <w:pPr>
        <w:ind w:firstLine="709"/>
        <w:jc w:val="both"/>
        <w:rPr>
          <w:b/>
          <w:sz w:val="28"/>
          <w:szCs w:val="28"/>
        </w:rPr>
      </w:pPr>
    </w:p>
    <w:p w:rsidR="00205366" w:rsidRPr="00D47AB3" w:rsidRDefault="00BF5D7D" w:rsidP="00E32E8D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26.11.2021 года № 31</w:t>
      </w:r>
    </w:p>
    <w:p w:rsidR="00205366" w:rsidRPr="00D47AB3" w:rsidRDefault="00BF5D7D" w:rsidP="00E32E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Новогольелань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="00BF5D7D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в </w:t>
      </w:r>
      <w:proofErr w:type="spellStart"/>
      <w:r w:rsidR="00BF5D7D">
        <w:rPr>
          <w:rStyle w:val="markedcontent"/>
          <w:sz w:val="28"/>
          <w:szCs w:val="28"/>
        </w:rPr>
        <w:t>Новогольеланском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</w:t>
      </w:r>
      <w:proofErr w:type="gramStart"/>
      <w:r w:rsidR="00E32E8D" w:rsidRPr="00D47AB3">
        <w:rPr>
          <w:rStyle w:val="markedcontent"/>
          <w:sz w:val="28"/>
          <w:szCs w:val="28"/>
        </w:rPr>
        <w:t>н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</w:t>
      </w:r>
      <w:r w:rsidR="00BF5D7D">
        <w:rPr>
          <w:rStyle w:val="markedcontent"/>
          <w:sz w:val="28"/>
          <w:szCs w:val="28"/>
        </w:rPr>
        <w:t xml:space="preserve">тролю в сфере благоустройства в  </w:t>
      </w:r>
      <w:proofErr w:type="spellStart"/>
      <w:r w:rsidR="00BF5D7D">
        <w:rPr>
          <w:rStyle w:val="markedcontent"/>
          <w:sz w:val="28"/>
          <w:szCs w:val="28"/>
        </w:rPr>
        <w:t>Новогольеланском</w:t>
      </w:r>
      <w:proofErr w:type="spellEnd"/>
      <w:r w:rsidR="00BF5D7D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BF5D7D">
        <w:rPr>
          <w:rStyle w:val="markedcontent"/>
          <w:sz w:val="28"/>
          <w:szCs w:val="28"/>
        </w:rPr>
        <w:t>Новогольеланского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>Вестнике муниц</w:t>
      </w:r>
      <w:r w:rsidR="00BF5D7D">
        <w:rPr>
          <w:sz w:val="28"/>
          <w:szCs w:val="28"/>
        </w:rPr>
        <w:t>ипальных правовых актов Новогольеланского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BF5D7D">
        <w:rPr>
          <w:sz w:val="28"/>
          <w:szCs w:val="28"/>
        </w:rPr>
        <w:t xml:space="preserve"> Новогольеланского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F5D7D" w:rsidRPr="00D47AB3" w:rsidRDefault="00BF5D7D" w:rsidP="00E32E8D">
      <w:pPr>
        <w:ind w:firstLine="709"/>
        <w:jc w:val="both"/>
        <w:rPr>
          <w:rStyle w:val="markedcontent"/>
          <w:sz w:val="28"/>
          <w:szCs w:val="28"/>
        </w:rPr>
      </w:pPr>
    </w:p>
    <w:tbl>
      <w:tblPr>
        <w:tblW w:w="14541" w:type="dxa"/>
        <w:tblLook w:val="04A0"/>
      </w:tblPr>
      <w:tblGrid>
        <w:gridCol w:w="8188"/>
        <w:gridCol w:w="3176"/>
        <w:gridCol w:w="3177"/>
      </w:tblGrid>
      <w:tr w:rsidR="00E32E8D" w:rsidRPr="00E32E8D" w:rsidTr="00BF5D7D">
        <w:tc>
          <w:tcPr>
            <w:tcW w:w="8188" w:type="dxa"/>
            <w:shd w:val="clear" w:color="auto" w:fill="auto"/>
          </w:tcPr>
          <w:p w:rsidR="00E32E8D" w:rsidRPr="00D47AB3" w:rsidRDefault="00E32E8D" w:rsidP="00BF5D7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Глава</w:t>
            </w:r>
            <w:r w:rsidR="00BF5D7D">
              <w:rPr>
                <w:sz w:val="28"/>
                <w:szCs w:val="28"/>
              </w:rPr>
              <w:t xml:space="preserve"> </w:t>
            </w:r>
            <w:r w:rsidRPr="00D47AB3">
              <w:rPr>
                <w:sz w:val="28"/>
                <w:szCs w:val="28"/>
              </w:rPr>
              <w:t>сельского поселения</w:t>
            </w:r>
            <w:r w:rsidR="00BF5D7D">
              <w:rPr>
                <w:sz w:val="28"/>
                <w:szCs w:val="28"/>
              </w:rPr>
              <w:t xml:space="preserve">                                            В.А.Шитов</w:t>
            </w:r>
          </w:p>
        </w:tc>
        <w:tc>
          <w:tcPr>
            <w:tcW w:w="3176" w:type="dxa"/>
            <w:shd w:val="clear" w:color="auto" w:fill="auto"/>
          </w:tcPr>
          <w:p w:rsidR="00E32E8D" w:rsidRPr="00D47AB3" w:rsidRDefault="00E32E8D" w:rsidP="00BF5D7D">
            <w:pPr>
              <w:ind w:left="5146" w:right="-3036"/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E32E8D" w:rsidRPr="00D47AB3" w:rsidRDefault="00E32E8D" w:rsidP="00BF5D7D">
            <w:pPr>
              <w:jc w:val="both"/>
              <w:rPr>
                <w:sz w:val="28"/>
                <w:szCs w:val="28"/>
              </w:rPr>
            </w:pPr>
          </w:p>
        </w:tc>
      </w:tr>
    </w:tbl>
    <w:p w:rsidR="00E32E8D" w:rsidRPr="00E32E8D" w:rsidRDefault="00E32E8D" w:rsidP="00BF5D7D">
      <w:pPr>
        <w:spacing w:after="200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  <w:r w:rsidR="00BF5D7D">
        <w:rPr>
          <w:rStyle w:val="markedcontent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E32E8D">
        <w:rPr>
          <w:sz w:val="28"/>
          <w:szCs w:val="28"/>
        </w:rPr>
        <w:t>Приложение</w:t>
      </w:r>
    </w:p>
    <w:p w:rsidR="00E32E8D" w:rsidRPr="00E32E8D" w:rsidRDefault="00BF5D7D" w:rsidP="00BF5D7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E8D"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BF5D7D" w:rsidP="00BF5D7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BF5D7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BF5D7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BF5D7D" w:rsidP="00BF5D7D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26.11.2021 г. № 31</w:t>
      </w:r>
    </w:p>
    <w:p w:rsidR="00E32E8D" w:rsidRPr="00D47AB3" w:rsidRDefault="00E32E8D" w:rsidP="00BF5D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</w:t>
      </w:r>
      <w:r w:rsidR="00BF5D7D">
        <w:rPr>
          <w:rFonts w:eastAsia="Calibri"/>
          <w:b/>
          <w:sz w:val="28"/>
          <w:szCs w:val="28"/>
          <w:lang w:eastAsia="en-US"/>
        </w:rPr>
        <w:t xml:space="preserve">сфере благоустройства в </w:t>
      </w:r>
      <w:proofErr w:type="spellStart"/>
      <w:r w:rsidR="00BF5D7D">
        <w:rPr>
          <w:rFonts w:eastAsia="Calibri"/>
          <w:b/>
          <w:sz w:val="28"/>
          <w:szCs w:val="28"/>
          <w:lang w:eastAsia="en-US"/>
        </w:rPr>
        <w:t>Новогольеланском</w:t>
      </w:r>
      <w:proofErr w:type="spellEnd"/>
      <w:r w:rsidR="00BF5D7D">
        <w:rPr>
          <w:rFonts w:eastAsia="Calibri"/>
          <w:b/>
          <w:sz w:val="28"/>
          <w:szCs w:val="28"/>
          <w:lang w:eastAsia="en-US"/>
        </w:rPr>
        <w:t xml:space="preserve">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</w:t>
      </w:r>
      <w:r w:rsidR="00BF5D7D">
        <w:rPr>
          <w:rFonts w:eastAsia="Calibri"/>
          <w:sz w:val="28"/>
          <w:szCs w:val="28"/>
          <w:lang w:eastAsia="en-US"/>
        </w:rPr>
        <w:t xml:space="preserve">ельности администрации Новогольеланского </w:t>
      </w:r>
      <w:r w:rsidRPr="00D47AB3">
        <w:rPr>
          <w:rFonts w:eastAsia="Calibri"/>
          <w:sz w:val="28"/>
          <w:szCs w:val="28"/>
          <w:lang w:eastAsia="en-US"/>
        </w:rPr>
        <w:t xml:space="preserve">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BF5D7D">
        <w:rPr>
          <w:rStyle w:val="markedcontent"/>
          <w:sz w:val="28"/>
          <w:szCs w:val="28"/>
        </w:rPr>
        <w:t>Новогольеланском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BF5D7D">
        <w:rPr>
          <w:rFonts w:eastAsia="Calibri"/>
          <w:sz w:val="28"/>
          <w:szCs w:val="28"/>
          <w:lang w:eastAsia="en-US"/>
        </w:rPr>
        <w:t>Новогольеланского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BF5D7D">
        <w:rPr>
          <w:rStyle w:val="markedcontent"/>
          <w:sz w:val="28"/>
          <w:szCs w:val="28"/>
        </w:rPr>
        <w:t>Новогольеланского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534C49">
        <w:rPr>
          <w:sz w:val="28"/>
          <w:szCs w:val="28"/>
        </w:rPr>
        <w:t>ведущий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534C49">
        <w:rPr>
          <w:sz w:val="28"/>
          <w:szCs w:val="28"/>
        </w:rPr>
        <w:t>территории  Новогольеланского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</w:t>
      </w:r>
      <w:r w:rsidR="00B843D6">
        <w:rPr>
          <w:sz w:val="28"/>
          <w:szCs w:val="28"/>
        </w:rPr>
        <w:t>ародных депутатов   Новогольеланского</w:t>
      </w:r>
      <w:r w:rsidR="009458DD" w:rsidRPr="00C3162B">
        <w:rPr>
          <w:sz w:val="28"/>
          <w:szCs w:val="28"/>
        </w:rPr>
        <w:t xml:space="preserve"> сельского поселения Грибановского</w:t>
      </w:r>
      <w:r w:rsidR="00B843D6">
        <w:rPr>
          <w:sz w:val="28"/>
          <w:szCs w:val="28"/>
        </w:rPr>
        <w:t xml:space="preserve"> муниципального района от 29.05.2012 года № 135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>благоуст</w:t>
      </w:r>
      <w:r w:rsidR="00B843D6">
        <w:rPr>
          <w:sz w:val="28"/>
          <w:szCs w:val="28"/>
        </w:rPr>
        <w:t>ройства  территории Новогольеланского</w:t>
      </w:r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</w:t>
      </w:r>
      <w:r w:rsidRPr="00D47AB3">
        <w:rPr>
          <w:rStyle w:val="markedcontent"/>
          <w:sz w:val="28"/>
          <w:szCs w:val="28"/>
        </w:rPr>
        <w:lastRenderedPageBreak/>
        <w:t xml:space="preserve">услуг, организация благоустройства территории </w:t>
      </w:r>
      <w:r w:rsidR="00B843D6">
        <w:rPr>
          <w:rStyle w:val="markedcontent"/>
          <w:sz w:val="28"/>
          <w:szCs w:val="28"/>
        </w:rPr>
        <w:t>Новогольеланского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муниципального образования </w:t>
      </w:r>
      <w:r w:rsidR="00B843D6">
        <w:rPr>
          <w:rStyle w:val="markedcontent"/>
          <w:sz w:val="28"/>
          <w:szCs w:val="28"/>
        </w:rPr>
        <w:t>Новогольеланское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</w:t>
      </w:r>
      <w:r w:rsidRPr="00D47AB3">
        <w:rPr>
          <w:rStyle w:val="markedcontent"/>
          <w:sz w:val="28"/>
          <w:szCs w:val="28"/>
        </w:rPr>
        <w:lastRenderedPageBreak/>
        <w:t>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D1456F">
        <w:rPr>
          <w:rFonts w:eastAsia="Calibri"/>
          <w:sz w:val="28"/>
          <w:szCs w:val="28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Default="00984AB1" w:rsidP="00B843D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</w:t>
            </w:r>
            <w:r w:rsidRPr="00D47AB3">
              <w:rPr>
                <w:sz w:val="28"/>
                <w:szCs w:val="28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  <w:bookmarkStart w:id="0" w:name="_GoBack"/>
      <w:bookmarkEnd w:id="0"/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7F0504">
        <w:rPr>
          <w:iCs/>
          <w:sz w:val="28"/>
          <w:szCs w:val="28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7F0504">
        <w:rPr>
          <w:iCs/>
          <w:sz w:val="28"/>
          <w:szCs w:val="28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BF5D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89" w:rsidRDefault="00E35989" w:rsidP="00FE6B57">
      <w:r>
        <w:separator/>
      </w:r>
    </w:p>
  </w:endnote>
  <w:endnote w:type="continuationSeparator" w:id="0">
    <w:p w:rsidR="00E35989" w:rsidRDefault="00E35989" w:rsidP="00FE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89" w:rsidRDefault="00E35989" w:rsidP="00FE6B57">
      <w:r>
        <w:separator/>
      </w:r>
    </w:p>
  </w:footnote>
  <w:footnote w:type="continuationSeparator" w:id="0">
    <w:p w:rsidR="00E35989" w:rsidRDefault="00E35989" w:rsidP="00FE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225207"/>
    <w:rsid w:val="002305A7"/>
    <w:rsid w:val="00394CAF"/>
    <w:rsid w:val="003F3CA0"/>
    <w:rsid w:val="003F5761"/>
    <w:rsid w:val="00482FE5"/>
    <w:rsid w:val="004979F9"/>
    <w:rsid w:val="004D64A7"/>
    <w:rsid w:val="00534C49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7F0504"/>
    <w:rsid w:val="008439A1"/>
    <w:rsid w:val="008A5CBF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37DDB"/>
    <w:rsid w:val="00B4671B"/>
    <w:rsid w:val="00B47740"/>
    <w:rsid w:val="00B83C67"/>
    <w:rsid w:val="00B843D6"/>
    <w:rsid w:val="00BA3F11"/>
    <w:rsid w:val="00BA7817"/>
    <w:rsid w:val="00BC166A"/>
    <w:rsid w:val="00BF5D7D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35989"/>
    <w:rsid w:val="00E57C19"/>
    <w:rsid w:val="00EB21C2"/>
    <w:rsid w:val="00EC3DCB"/>
    <w:rsid w:val="00ED374B"/>
    <w:rsid w:val="00F10E42"/>
    <w:rsid w:val="00F338B7"/>
    <w:rsid w:val="00F33A46"/>
    <w:rsid w:val="00F5148E"/>
    <w:rsid w:val="00F6522A"/>
    <w:rsid w:val="00F7601C"/>
    <w:rsid w:val="00F83BD5"/>
    <w:rsid w:val="00FE104F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15</cp:revision>
  <dcterms:created xsi:type="dcterms:W3CDTF">2021-09-30T06:10:00Z</dcterms:created>
  <dcterms:modified xsi:type="dcterms:W3CDTF">2021-11-29T11:04:00Z</dcterms:modified>
</cp:coreProperties>
</file>