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F2" w:rsidRDefault="008822F2" w:rsidP="00295767">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295767">
        <w:rPr>
          <w:rFonts w:ascii="Times New Roman" w:eastAsia="Times New Roman" w:hAnsi="Times New Roman" w:cs="Times New Roman"/>
          <w:b/>
          <w:color w:val="auto"/>
          <w:sz w:val="28"/>
          <w:szCs w:val="28"/>
          <w:lang w:bidi="ar-SA"/>
        </w:rPr>
        <w:t xml:space="preserve"> </w:t>
      </w:r>
    </w:p>
    <w:p w:rsidR="00B04774" w:rsidRPr="008822F2" w:rsidRDefault="008822F2" w:rsidP="00907351">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 </w:t>
      </w:r>
      <w:r w:rsidR="00B04774" w:rsidRPr="008822F2">
        <w:rPr>
          <w:rFonts w:ascii="Times New Roman" w:eastAsia="Times New Roman" w:hAnsi="Times New Roman" w:cs="Times New Roman"/>
          <w:b/>
          <w:color w:val="auto"/>
          <w:sz w:val="28"/>
          <w:szCs w:val="28"/>
          <w:lang w:bidi="ar-SA"/>
        </w:rPr>
        <w:t>АДМИНИСТРАЦИЯ</w:t>
      </w:r>
      <w:r>
        <w:rPr>
          <w:rFonts w:ascii="Times New Roman" w:eastAsia="Times New Roman" w:hAnsi="Times New Roman" w:cs="Times New Roman"/>
          <w:b/>
          <w:color w:val="auto"/>
          <w:sz w:val="28"/>
          <w:szCs w:val="28"/>
          <w:lang w:bidi="ar-SA"/>
        </w:rPr>
        <w:t xml:space="preserve">                                           </w:t>
      </w:r>
    </w:p>
    <w:p w:rsidR="00B04774" w:rsidRPr="008822F2" w:rsidRDefault="008822F2" w:rsidP="00907351">
      <w:pPr>
        <w:widowControl/>
        <w:ind w:firstLine="709"/>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НОВОГОЛЬЕЛАНСКОГО </w:t>
      </w:r>
      <w:r w:rsidR="00B04774" w:rsidRPr="008822F2">
        <w:rPr>
          <w:rFonts w:ascii="Times New Roman" w:eastAsia="Times New Roman" w:hAnsi="Times New Roman" w:cs="Times New Roman"/>
          <w:b/>
          <w:color w:val="auto"/>
          <w:sz w:val="28"/>
          <w:szCs w:val="28"/>
          <w:lang w:bidi="ar-SA"/>
        </w:rPr>
        <w:t xml:space="preserve"> СЕЛЬСКОГО ПОСЕЛЕНИЯ</w:t>
      </w:r>
    </w:p>
    <w:p w:rsidR="00B04774" w:rsidRPr="008822F2" w:rsidRDefault="00B04774" w:rsidP="00907351">
      <w:pPr>
        <w:widowControl/>
        <w:ind w:firstLine="709"/>
        <w:jc w:val="center"/>
        <w:rPr>
          <w:rFonts w:ascii="Times New Roman" w:eastAsia="Times New Roman" w:hAnsi="Times New Roman" w:cs="Times New Roman"/>
          <w:b/>
          <w:color w:val="auto"/>
          <w:sz w:val="28"/>
          <w:szCs w:val="28"/>
          <w:lang w:bidi="ar-SA"/>
        </w:rPr>
      </w:pPr>
      <w:r w:rsidRPr="008822F2">
        <w:rPr>
          <w:rFonts w:ascii="Times New Roman" w:eastAsia="Times New Roman" w:hAnsi="Times New Roman" w:cs="Times New Roman"/>
          <w:b/>
          <w:color w:val="auto"/>
          <w:sz w:val="28"/>
          <w:szCs w:val="28"/>
          <w:lang w:bidi="ar-SA"/>
        </w:rPr>
        <w:t>ГРИБАНОВСКОГО МУНИЦИПАЛЬНОГО РАЙОНА</w:t>
      </w:r>
    </w:p>
    <w:p w:rsidR="00B04774" w:rsidRPr="008822F2" w:rsidRDefault="00B04774" w:rsidP="00907351">
      <w:pPr>
        <w:widowControl/>
        <w:ind w:firstLine="709"/>
        <w:jc w:val="center"/>
        <w:rPr>
          <w:rFonts w:ascii="Times New Roman" w:eastAsia="Times New Roman" w:hAnsi="Times New Roman" w:cs="Times New Roman"/>
          <w:b/>
          <w:color w:val="auto"/>
          <w:sz w:val="28"/>
          <w:szCs w:val="28"/>
          <w:lang w:bidi="ar-SA"/>
        </w:rPr>
      </w:pPr>
      <w:r w:rsidRPr="008822F2">
        <w:rPr>
          <w:rFonts w:ascii="Times New Roman" w:eastAsia="Times New Roman" w:hAnsi="Times New Roman" w:cs="Times New Roman"/>
          <w:b/>
          <w:color w:val="auto"/>
          <w:sz w:val="28"/>
          <w:szCs w:val="28"/>
          <w:lang w:bidi="ar-SA"/>
        </w:rPr>
        <w:t>ВОРОНЕЖСКОЙ ОБЛАСТИ</w:t>
      </w:r>
    </w:p>
    <w:p w:rsidR="00B04774" w:rsidRPr="008822F2" w:rsidRDefault="00B04774" w:rsidP="00907351">
      <w:pPr>
        <w:widowControl/>
        <w:ind w:firstLine="709"/>
        <w:jc w:val="center"/>
        <w:rPr>
          <w:rFonts w:ascii="Times New Roman" w:eastAsia="Times New Roman" w:hAnsi="Times New Roman" w:cs="Times New Roman"/>
          <w:b/>
          <w:color w:val="auto"/>
          <w:sz w:val="28"/>
          <w:szCs w:val="28"/>
          <w:lang w:bidi="ar-SA"/>
        </w:rPr>
      </w:pPr>
    </w:p>
    <w:p w:rsidR="00B04774" w:rsidRPr="008822F2" w:rsidRDefault="00B04774" w:rsidP="00907351">
      <w:pPr>
        <w:widowControl/>
        <w:ind w:firstLine="709"/>
        <w:jc w:val="center"/>
        <w:rPr>
          <w:rFonts w:ascii="Times New Roman" w:eastAsia="Times New Roman" w:hAnsi="Times New Roman" w:cs="Times New Roman"/>
          <w:b/>
          <w:color w:val="auto"/>
          <w:sz w:val="28"/>
          <w:szCs w:val="28"/>
          <w:lang w:bidi="ar-SA"/>
        </w:rPr>
      </w:pPr>
      <w:r w:rsidRPr="008822F2">
        <w:rPr>
          <w:rFonts w:ascii="Times New Roman" w:eastAsia="Times New Roman" w:hAnsi="Times New Roman" w:cs="Times New Roman"/>
          <w:b/>
          <w:color w:val="auto"/>
          <w:sz w:val="28"/>
          <w:szCs w:val="28"/>
          <w:lang w:bidi="ar-SA"/>
        </w:rPr>
        <w:t>ПОСТАНОВЛЕНИЕ</w:t>
      </w:r>
    </w:p>
    <w:p w:rsidR="00B04774" w:rsidRPr="008822F2" w:rsidRDefault="00B04774" w:rsidP="00907351">
      <w:pPr>
        <w:autoSpaceDE w:val="0"/>
        <w:autoSpaceDN w:val="0"/>
        <w:adjustRightInd w:val="0"/>
        <w:ind w:firstLine="709"/>
        <w:jc w:val="center"/>
        <w:rPr>
          <w:rFonts w:ascii="Times New Roman" w:eastAsia="Times New Roman" w:hAnsi="Times New Roman" w:cs="Times New Roman"/>
          <w:b/>
          <w:color w:val="auto"/>
          <w:sz w:val="28"/>
          <w:szCs w:val="28"/>
          <w:lang w:bidi="ar-SA"/>
        </w:rPr>
      </w:pPr>
    </w:p>
    <w:p w:rsidR="00B04774" w:rsidRPr="00907351" w:rsidRDefault="00BB2C9C" w:rsidP="00907351">
      <w:pPr>
        <w:widowControl/>
        <w:tabs>
          <w:tab w:val="left" w:pos="1172"/>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«20</w:t>
      </w:r>
      <w:r w:rsidR="00295767">
        <w:rPr>
          <w:rFonts w:ascii="Times New Roman" w:eastAsia="Times New Roman" w:hAnsi="Times New Roman" w:cs="Times New Roman"/>
          <w:color w:val="auto"/>
          <w:sz w:val="28"/>
          <w:szCs w:val="28"/>
          <w:lang w:bidi="ar-SA"/>
        </w:rPr>
        <w:t>» октября 2023 г. № 43</w:t>
      </w:r>
    </w:p>
    <w:p w:rsidR="00B04774" w:rsidRPr="00907351" w:rsidRDefault="008822F2" w:rsidP="00907351">
      <w:pPr>
        <w:widowControl/>
        <w:ind w:firstLine="709"/>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с</w:t>
      </w:r>
      <w:proofErr w:type="gramStart"/>
      <w:r>
        <w:rPr>
          <w:rFonts w:ascii="Times New Roman" w:eastAsia="Times New Roman" w:hAnsi="Times New Roman" w:cs="Times New Roman"/>
          <w:color w:val="auto"/>
          <w:sz w:val="28"/>
          <w:szCs w:val="28"/>
          <w:lang w:bidi="ar-SA"/>
        </w:rPr>
        <w:t>.Н</w:t>
      </w:r>
      <w:proofErr w:type="gramEnd"/>
      <w:r>
        <w:rPr>
          <w:rFonts w:ascii="Times New Roman" w:eastAsia="Times New Roman" w:hAnsi="Times New Roman" w:cs="Times New Roman"/>
          <w:color w:val="auto"/>
          <w:sz w:val="28"/>
          <w:szCs w:val="28"/>
          <w:lang w:bidi="ar-SA"/>
        </w:rPr>
        <w:t>овогольелань</w:t>
      </w:r>
      <w:proofErr w:type="spellEnd"/>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8822F2">
        <w:rPr>
          <w:rFonts w:ascii="Times New Roman" w:hAnsi="Times New Roman" w:cs="Times New Roman"/>
          <w:color w:val="auto"/>
          <w:sz w:val="28"/>
          <w:szCs w:val="28"/>
        </w:rPr>
        <w:t>Новогольеланского</w:t>
      </w:r>
      <w:proofErr w:type="spellEnd"/>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r w:rsidRPr="00907351">
        <w:rPr>
          <w:lang w:eastAsia="ru-RU"/>
        </w:rPr>
        <w:t xml:space="preserve">В </w:t>
      </w:r>
      <w:proofErr w:type="gramStart"/>
      <w:r w:rsidRPr="00907351">
        <w:rPr>
          <w:lang w:eastAsia="ru-RU"/>
        </w:rPr>
        <w:t>соответствии</w:t>
      </w:r>
      <w:proofErr w:type="gramEnd"/>
      <w:r w:rsidRPr="00907351">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 xml:space="preserve">от 30.12.2020 № 509-ФЗ «О </w:t>
      </w:r>
      <w:proofErr w:type="gramStart"/>
      <w:r w:rsidRPr="00907351">
        <w:t>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proofErr w:type="spellStart"/>
      <w:r w:rsidR="008822F2">
        <w:t>Новогольеланского</w:t>
      </w:r>
      <w:proofErr w:type="spellEnd"/>
      <w:r w:rsidR="00B04774" w:rsidRPr="00907351">
        <w:t xml:space="preserve"> сельского поселения Грибановского муниципального района Воронежской области, администрация сельского поселения</w:t>
      </w:r>
      <w:proofErr w:type="gramEnd"/>
      <w:r w:rsidR="00B04774" w:rsidRPr="00907351">
        <w:t xml:space="preserve">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proofErr w:type="spellStart"/>
      <w:r w:rsidR="008822F2">
        <w:rPr>
          <w:rFonts w:ascii="Times New Roman" w:hAnsi="Times New Roman" w:cs="Times New Roman"/>
          <w:color w:val="auto"/>
          <w:sz w:val="28"/>
          <w:szCs w:val="28"/>
        </w:rPr>
        <w:t>Новогольеланского</w:t>
      </w:r>
      <w:proofErr w:type="spellEnd"/>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Настоящее постановление вступает в силу со дня его официального опубликования в вестнике муниц</w:t>
      </w:r>
      <w:r w:rsidR="008822F2">
        <w:rPr>
          <w:rFonts w:ascii="Times New Roman" w:eastAsia="Times New Roman" w:hAnsi="Times New Roman" w:cs="Times New Roman"/>
          <w:color w:val="auto"/>
          <w:sz w:val="28"/>
          <w:szCs w:val="28"/>
          <w:lang w:bidi="ar-SA"/>
        </w:rPr>
        <w:t xml:space="preserve">ипальных правовых актов </w:t>
      </w:r>
      <w:proofErr w:type="spellStart"/>
      <w:r w:rsidR="008822F2">
        <w:rPr>
          <w:rFonts w:ascii="Times New Roman" w:eastAsia="Times New Roman" w:hAnsi="Times New Roman" w:cs="Times New Roman"/>
          <w:color w:val="auto"/>
          <w:sz w:val="28"/>
          <w:szCs w:val="28"/>
          <w:lang w:bidi="ar-SA"/>
        </w:rPr>
        <w:t>Новогольеланского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и размещен</w:t>
      </w:r>
      <w:r w:rsidR="008822F2">
        <w:rPr>
          <w:rFonts w:ascii="Times New Roman" w:eastAsia="Times New Roman" w:hAnsi="Times New Roman" w:cs="Times New Roman"/>
          <w:color w:val="auto"/>
          <w:sz w:val="28"/>
          <w:szCs w:val="28"/>
          <w:lang w:bidi="ar-SA"/>
        </w:rPr>
        <w:t xml:space="preserve">ия на официальном сайте </w:t>
      </w:r>
      <w:proofErr w:type="spellStart"/>
      <w:r w:rsidR="008822F2">
        <w:rPr>
          <w:rFonts w:ascii="Times New Roman" w:eastAsia="Times New Roman" w:hAnsi="Times New Roman" w:cs="Times New Roman"/>
          <w:color w:val="auto"/>
          <w:sz w:val="28"/>
          <w:szCs w:val="28"/>
          <w:lang w:bidi="ar-SA"/>
        </w:rPr>
        <w:t>Новогольеланского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p>
    <w:tbl>
      <w:tblPr>
        <w:tblW w:w="17368" w:type="dxa"/>
        <w:tblLook w:val="04A0" w:firstRow="1" w:lastRow="0" w:firstColumn="1" w:lastColumn="0" w:noHBand="0" w:noVBand="1"/>
      </w:tblPr>
      <w:tblGrid>
        <w:gridCol w:w="8755"/>
        <w:gridCol w:w="5330"/>
        <w:gridCol w:w="3283"/>
      </w:tblGrid>
      <w:tr w:rsidR="00907351" w:rsidRPr="00907351" w:rsidTr="008822F2">
        <w:tc>
          <w:tcPr>
            <w:tcW w:w="8755"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r w:rsidR="008822F2">
              <w:rPr>
                <w:rFonts w:ascii="Times New Roman" w:eastAsia="Times New Roman" w:hAnsi="Times New Roman" w:cs="Times New Roman"/>
                <w:color w:val="auto"/>
                <w:sz w:val="28"/>
                <w:szCs w:val="28"/>
                <w:lang w:eastAsia="en-US" w:bidi="ar-SA"/>
              </w:rPr>
              <w:t xml:space="preserve">                                             </w:t>
            </w:r>
            <w:proofErr w:type="spellStart"/>
            <w:r w:rsidR="008822F2">
              <w:rPr>
                <w:rFonts w:ascii="Times New Roman" w:eastAsia="Times New Roman" w:hAnsi="Times New Roman" w:cs="Times New Roman"/>
                <w:color w:val="auto"/>
                <w:sz w:val="28"/>
                <w:szCs w:val="28"/>
                <w:lang w:eastAsia="en-US" w:bidi="ar-SA"/>
              </w:rPr>
              <w:t>В.А.Шитов</w:t>
            </w:r>
            <w:proofErr w:type="spellEnd"/>
          </w:p>
        </w:tc>
        <w:tc>
          <w:tcPr>
            <w:tcW w:w="5330" w:type="dxa"/>
          </w:tcPr>
          <w:p w:rsidR="00B04774" w:rsidRPr="00907351" w:rsidRDefault="00B04774" w:rsidP="008822F2">
            <w:pPr>
              <w:widowControl/>
              <w:ind w:left="2246" w:hanging="1537"/>
              <w:jc w:val="both"/>
              <w:rPr>
                <w:rFonts w:ascii="Times New Roman" w:eastAsia="Times New Roman" w:hAnsi="Times New Roman" w:cs="Times New Roman"/>
                <w:color w:val="auto"/>
                <w:sz w:val="28"/>
                <w:szCs w:val="28"/>
                <w:lang w:eastAsia="en-US" w:bidi="ar-SA"/>
              </w:rPr>
            </w:pPr>
          </w:p>
        </w:tc>
        <w:tc>
          <w:tcPr>
            <w:tcW w:w="3283" w:type="dxa"/>
            <w:hideMark/>
          </w:tcPr>
          <w:p w:rsidR="00B04774" w:rsidRPr="00907351" w:rsidRDefault="00B04774" w:rsidP="008822F2">
            <w:pPr>
              <w:widowControl/>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 xml:space="preserve"> (ФИО) </w:t>
            </w:r>
          </w:p>
        </w:tc>
      </w:tr>
    </w:tbl>
    <w:p w:rsidR="00295767" w:rsidRDefault="00295767" w:rsidP="00295767">
      <w:pPr>
        <w:widowControl/>
        <w:jc w:val="both"/>
        <w:rPr>
          <w:rFonts w:ascii="Times New Roman" w:eastAsia="Times New Roman" w:hAnsi="Times New Roman" w:cs="Times New Roman"/>
          <w:color w:val="auto"/>
          <w:sz w:val="28"/>
          <w:szCs w:val="28"/>
        </w:rPr>
      </w:pPr>
    </w:p>
    <w:p w:rsidR="00B04774" w:rsidRPr="00907351" w:rsidRDefault="00295767" w:rsidP="00295767">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rPr>
        <w:lastRenderedPageBreak/>
        <w:t xml:space="preserve">                                                                                                                   </w:t>
      </w:r>
      <w:r w:rsidR="00B04774" w:rsidRPr="00907351">
        <w:rPr>
          <w:rFonts w:ascii="Times New Roman" w:eastAsia="Times New Roman" w:hAnsi="Times New Roman" w:cs="Times New Roman"/>
          <w:color w:val="auto"/>
          <w:sz w:val="28"/>
          <w:szCs w:val="28"/>
          <w:lang w:bidi="ar-SA"/>
        </w:rPr>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8822F2" w:rsidP="00907351">
      <w:pPr>
        <w:widowControl/>
        <w:ind w:firstLine="709"/>
        <w:jc w:val="right"/>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Новогольеланского</w:t>
      </w:r>
      <w:proofErr w:type="spellEnd"/>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B2C9C" w:rsidP="00907351">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от «20</w:t>
      </w:r>
      <w:bookmarkStart w:id="0" w:name="_GoBack"/>
      <w:bookmarkEnd w:id="0"/>
      <w:r w:rsidR="00295767">
        <w:rPr>
          <w:rFonts w:ascii="Times New Roman" w:eastAsia="Times New Roman" w:hAnsi="Times New Roman" w:cs="Times New Roman"/>
          <w:color w:val="auto"/>
          <w:sz w:val="28"/>
          <w:szCs w:val="28"/>
          <w:lang w:bidi="ar-SA"/>
        </w:rPr>
        <w:t>»октября 2023 г. № 43</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proofErr w:type="spellStart"/>
      <w:r w:rsidR="008822F2">
        <w:rPr>
          <w:i w:val="0"/>
          <w:sz w:val="28"/>
          <w:szCs w:val="28"/>
        </w:rPr>
        <w:t>Новогольеланского</w:t>
      </w:r>
      <w:proofErr w:type="spellEnd"/>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proofErr w:type="spellStart"/>
      <w:r w:rsidR="008822F2">
        <w:rPr>
          <w:i w:val="0"/>
          <w:sz w:val="28"/>
          <w:szCs w:val="28"/>
        </w:rPr>
        <w:t>Новогольеланского</w:t>
      </w:r>
      <w:proofErr w:type="spellEnd"/>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proofErr w:type="spellStart"/>
      <w:r w:rsidR="008822F2">
        <w:rPr>
          <w:i w:val="0"/>
          <w:sz w:val="28"/>
          <w:szCs w:val="28"/>
        </w:rPr>
        <w:t>Новогольеланского</w:t>
      </w:r>
      <w:proofErr w:type="spellEnd"/>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lastRenderedPageBreak/>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lastRenderedPageBreak/>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proofErr w:type="spellStart"/>
      <w:r w:rsidR="008822F2">
        <w:rPr>
          <w:i w:val="0"/>
          <w:sz w:val="28"/>
          <w:szCs w:val="28"/>
        </w:rPr>
        <w:t>Новогольеланского</w:t>
      </w:r>
      <w:proofErr w:type="spellEnd"/>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w:t>
      </w:r>
      <w:r w:rsidR="008822F2">
        <w:rPr>
          <w:rFonts w:ascii="Times New Roman" w:hAnsi="Times New Roman" w:cs="Times New Roman"/>
          <w:color w:val="auto"/>
          <w:spacing w:val="7"/>
          <w:sz w:val="28"/>
          <w:szCs w:val="28"/>
        </w:rPr>
        <w:t>нистрации  (http://</w:t>
      </w:r>
      <w:r w:rsidR="008822F2" w:rsidRPr="008822F2">
        <w:t xml:space="preserve"> </w:t>
      </w:r>
      <w:r w:rsidR="008822F2" w:rsidRPr="008822F2">
        <w:rPr>
          <w:rFonts w:ascii="Times New Roman" w:hAnsi="Times New Roman" w:cs="Times New Roman"/>
          <w:color w:val="auto"/>
          <w:spacing w:val="7"/>
          <w:sz w:val="28"/>
          <w:szCs w:val="28"/>
        </w:rPr>
        <w:t>newgolen-grib.ru</w:t>
      </w:r>
      <w:r w:rsidRPr="00907351">
        <w:rPr>
          <w:rFonts w:ascii="Times New Roman" w:hAnsi="Times New Roman" w:cs="Times New Roman"/>
          <w:color w:val="auto"/>
          <w:spacing w:val="7"/>
          <w:sz w:val="28"/>
          <w:szCs w:val="28"/>
        </w:rPr>
        <w:t>)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lastRenderedPageBreak/>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д) выдержки из нормативных правовых актов, содержащих нормы, регулирующие деятельность Администрации по предоставлению </w:t>
      </w:r>
      <w:r w:rsidRPr="00907351">
        <w:rPr>
          <w:rFonts w:ascii="Times New Roman" w:hAnsi="Times New Roman" w:cs="Times New Roman"/>
          <w:color w:val="auto"/>
          <w:spacing w:val="7"/>
          <w:sz w:val="28"/>
          <w:szCs w:val="28"/>
        </w:rPr>
        <w:lastRenderedPageBreak/>
        <w:t>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xml:space="preserve">) об основаниях для отказа в предоставлении Муниципальной </w:t>
      </w:r>
      <w:r w:rsidR="004F392A" w:rsidRPr="00907351">
        <w:rPr>
          <w:rFonts w:ascii="Times New Roman" w:hAnsi="Times New Roman" w:cs="Times New Roman"/>
          <w:color w:val="auto"/>
          <w:spacing w:val="7"/>
          <w:sz w:val="28"/>
          <w:szCs w:val="28"/>
        </w:rPr>
        <w:lastRenderedPageBreak/>
        <w:t>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proofErr w:type="spellStart"/>
      <w:r w:rsidR="008822F2">
        <w:t>Новогольеланского</w:t>
      </w:r>
      <w:proofErr w:type="spellEnd"/>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lastRenderedPageBreak/>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proofErr w:type="spellStart"/>
      <w:r w:rsidR="008822F2">
        <w:t>Новогольеланского</w:t>
      </w:r>
      <w:proofErr w:type="spellEnd"/>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Об утверждении перечня услуг, которые являются необходимыми и обязательными для предос</w:t>
      </w:r>
      <w:r w:rsidR="008822F2">
        <w:t xml:space="preserve">тавления администрацией </w:t>
      </w:r>
      <w:proofErr w:type="spellStart"/>
      <w:r w:rsidR="00C70C5B">
        <w:t>Новогольеланского</w:t>
      </w:r>
      <w:proofErr w:type="spellEnd"/>
      <w:r w:rsidRPr="00907351">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lastRenderedPageBreak/>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w:t>
      </w:r>
      <w:r w:rsidR="00C70C5B">
        <w:rPr>
          <w:sz w:val="28"/>
          <w:szCs w:val="28"/>
        </w:rPr>
        <w:t xml:space="preserve"> по адресу http://</w:t>
      </w:r>
      <w:r w:rsidR="00C70C5B" w:rsidRPr="00C70C5B">
        <w:t xml:space="preserve"> </w:t>
      </w:r>
      <w:r w:rsidR="00C70C5B" w:rsidRPr="00C70C5B">
        <w:rPr>
          <w:sz w:val="28"/>
          <w:szCs w:val="28"/>
        </w:rPr>
        <w:t>newgolen-grib.ru</w:t>
      </w:r>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lastRenderedPageBreak/>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w:t>
      </w:r>
      <w:r w:rsidRPr="00907351">
        <w:rPr>
          <w:rFonts w:ascii="Times New Roman" w:hAnsi="Times New Roman"/>
          <w:sz w:val="28"/>
          <w:szCs w:val="28"/>
        </w:rPr>
        <w:lastRenderedPageBreak/>
        <w:t>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w:t>
      </w:r>
      <w:r w:rsidR="00964723" w:rsidRPr="00907351">
        <w:rPr>
          <w:rFonts w:ascii="Times New Roman" w:eastAsiaTheme="minorHAnsi" w:hAnsi="Times New Roman" w:cs="Times New Roman"/>
          <w:color w:val="auto"/>
          <w:sz w:val="28"/>
          <w:szCs w:val="28"/>
          <w:lang w:eastAsia="en-US" w:bidi="ar-SA"/>
        </w:rPr>
        <w:lastRenderedPageBreak/>
        <w:t xml:space="preserve">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00996886" w:rsidRPr="00907351">
        <w:rPr>
          <w:rFonts w:ascii="Times New Roman" w:hAnsi="Times New Roman" w:cs="Times New Roman"/>
          <w:color w:val="auto"/>
          <w:sz w:val="28"/>
          <w:szCs w:val="28"/>
        </w:rPr>
        <w:lastRenderedPageBreak/>
        <w:t>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11.1.2. Представленные документы или сведения утратили силу на </w:t>
      </w:r>
      <w:r w:rsidRPr="00907351">
        <w:rPr>
          <w:rFonts w:ascii="Times New Roman" w:hAnsi="Times New Roman" w:cs="Times New Roman"/>
          <w:bCs/>
          <w:color w:val="auto"/>
          <w:sz w:val="28"/>
          <w:szCs w:val="28"/>
        </w:rPr>
        <w:lastRenderedPageBreak/>
        <w:t>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907351">
        <w:rPr>
          <w:rFonts w:ascii="Times New Roman" w:hAnsi="Times New Roman" w:cs="Times New Roman"/>
          <w:color w:val="auto"/>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907351">
        <w:rPr>
          <w:rFonts w:ascii="Times New Roman" w:hAnsi="Times New Roman" w:cs="Times New Roman"/>
          <w:color w:val="auto"/>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w:t>
      </w:r>
      <w:r w:rsidRPr="00907351">
        <w:rPr>
          <w:rFonts w:ascii="Times New Roman" w:hAnsi="Times New Roman" w:cs="Times New Roman"/>
          <w:color w:val="auto"/>
          <w:sz w:val="28"/>
          <w:szCs w:val="28"/>
        </w:rPr>
        <w:lastRenderedPageBreak/>
        <w:t xml:space="preserve">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w:t>
      </w:r>
      <w:r w:rsidRPr="00907351">
        <w:rPr>
          <w:rFonts w:ascii="Times New Roman" w:hAnsi="Times New Roman" w:cs="Times New Roman"/>
          <w:color w:val="auto"/>
          <w:sz w:val="28"/>
          <w:szCs w:val="28"/>
        </w:rPr>
        <w:lastRenderedPageBreak/>
        <w:t xml:space="preserve">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16.13. Лицо, ответственное за прием документов, должно иметь </w:t>
      </w:r>
      <w:r w:rsidRPr="00907351">
        <w:rPr>
          <w:rFonts w:ascii="Times New Roman" w:hAnsi="Times New Roman" w:cs="Times New Roman"/>
          <w:color w:val="auto"/>
          <w:sz w:val="28"/>
          <w:szCs w:val="28"/>
        </w:rPr>
        <w:lastRenderedPageBreak/>
        <w:t>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w:t>
      </w:r>
      <w:r w:rsidRPr="00907351">
        <w:rPr>
          <w:rFonts w:ascii="Times New Roman" w:hAnsi="Times New Roman" w:cs="Times New Roman"/>
          <w:color w:val="auto"/>
          <w:sz w:val="28"/>
          <w:szCs w:val="28"/>
        </w:rPr>
        <w:lastRenderedPageBreak/>
        <w:t xml:space="preserve">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w:t>
      </w:r>
      <w:r w:rsidRPr="00907351">
        <w:rPr>
          <w:rFonts w:ascii="Times New Roman" w:hAnsi="Times New Roman" w:cs="Times New Roman"/>
          <w:color w:val="auto"/>
          <w:sz w:val="28"/>
          <w:szCs w:val="28"/>
        </w:rPr>
        <w:lastRenderedPageBreak/>
        <w:t xml:space="preserve">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907351">
        <w:rPr>
          <w:rFonts w:ascii="Times New Roman" w:hAnsi="Times New Roman" w:cs="Times New Roman"/>
          <w:color w:val="auto"/>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lastRenderedPageBreak/>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w:t>
      </w:r>
      <w:r w:rsidRPr="00907351">
        <w:rPr>
          <w:rFonts w:ascii="Times New Roman" w:hAnsi="Times New Roman" w:cs="Times New Roman"/>
          <w:color w:val="auto"/>
          <w:sz w:val="28"/>
          <w:szCs w:val="28"/>
        </w:rPr>
        <w:lastRenderedPageBreak/>
        <w:t>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00CD6F3C" w:rsidRPr="00907351">
        <w:rPr>
          <w:rFonts w:ascii="Times New Roman" w:hAnsi="Times New Roman" w:cs="Times New Roman"/>
          <w:color w:val="auto"/>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21.3.2.</w:t>
      </w:r>
      <w:r w:rsidR="00176C4B" w:rsidRPr="00907351">
        <w:rPr>
          <w:rFonts w:ascii="Times New Roman" w:hAnsi="Times New Roman" w:cs="Times New Roman"/>
          <w:color w:val="auto"/>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 xml:space="preserve">Принятие решения о предоставлении (об отказе в предоставлении) </w:t>
      </w:r>
      <w:r w:rsidR="00CD6F3C" w:rsidRPr="00907351">
        <w:rPr>
          <w:rFonts w:ascii="Times New Roman" w:hAnsi="Times New Roman" w:cs="Times New Roman"/>
          <w:color w:val="auto"/>
          <w:sz w:val="28"/>
          <w:szCs w:val="28"/>
        </w:rPr>
        <w:lastRenderedPageBreak/>
        <w:t>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w:t>
      </w:r>
      <w:r w:rsidRPr="00907351">
        <w:rPr>
          <w:rFonts w:ascii="Times New Roman" w:hAnsi="Times New Roman" w:cs="Times New Roman"/>
          <w:sz w:val="28"/>
          <w:szCs w:val="28"/>
        </w:rPr>
        <w:lastRenderedPageBreak/>
        <w:t>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 xml:space="preserve">в </w:t>
      </w:r>
      <w:r w:rsidR="00245905" w:rsidRPr="00907351">
        <w:rPr>
          <w:rFonts w:eastAsiaTheme="minorHAnsi"/>
        </w:rPr>
        <w:lastRenderedPageBreak/>
        <w:t>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Срок рассмотрения запроса об оставлении заявления о предоставлении </w:t>
      </w:r>
      <w:r w:rsidRPr="00907351">
        <w:rPr>
          <w:rFonts w:ascii="Times New Roman" w:hAnsi="Times New Roman" w:cs="Times New Roman"/>
          <w:color w:val="auto"/>
          <w:sz w:val="28"/>
          <w:szCs w:val="28"/>
        </w:rPr>
        <w:lastRenderedPageBreak/>
        <w:t>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w:t>
      </w:r>
      <w:r w:rsidRPr="00907351">
        <w:lastRenderedPageBreak/>
        <w:t>нормативных правовых актов Российской Федерации, нормативных правовых актов Воронежской области и нормати</w:t>
      </w:r>
      <w:r w:rsidR="00700379">
        <w:t xml:space="preserve">вных правовых актов </w:t>
      </w:r>
      <w:proofErr w:type="spellStart"/>
      <w:r w:rsidR="00700379">
        <w:t>Новогольеланского</w:t>
      </w:r>
      <w:proofErr w:type="spellEnd"/>
      <w:r w:rsidR="00700379">
        <w:t xml:space="preserve"> </w:t>
      </w:r>
      <w:r w:rsidRPr="00907351">
        <w:t xml:space="preserve"> 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00379">
        <w:rPr>
          <w:sz w:val="28"/>
          <w:szCs w:val="28"/>
        </w:rPr>
        <w:t>Новогольеланского</w:t>
      </w:r>
      <w:r w:rsidRPr="00907351">
        <w:rPr>
          <w:sz w:val="28"/>
          <w:szCs w:val="28"/>
        </w:rPr>
        <w:t xml:space="preserve">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lastRenderedPageBreak/>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907351">
        <w:rPr>
          <w:rFonts w:ascii="Times New Roman" w:hAnsi="Times New Roman" w:cs="Times New Roman"/>
          <w:color w:val="auto"/>
          <w:sz w:val="28"/>
          <w:szCs w:val="28"/>
        </w:rPr>
        <w:lastRenderedPageBreak/>
        <w:t xml:space="preserve">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907351">
        <w:rPr>
          <w:rFonts w:ascii="Times New Roman" w:hAnsi="Times New Roman" w:cs="Times New Roman"/>
          <w:color w:val="auto"/>
          <w:sz w:val="28"/>
          <w:szCs w:val="28"/>
        </w:rPr>
        <w:lastRenderedPageBreak/>
        <w:t xml:space="preserve">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1" w:name="p39"/>
      <w:bookmarkEnd w:id="1"/>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2" w:name="p43"/>
      <w:bookmarkEnd w:id="2"/>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7351">
        <w:rPr>
          <w:rFonts w:ascii="Times New Roman" w:hAnsi="Times New Roman" w:cs="Times New Roman"/>
          <w:color w:val="auto"/>
          <w:sz w:val="28"/>
          <w:szCs w:val="28"/>
        </w:rPr>
        <w:t>неудобства</w:t>
      </w:r>
      <w:proofErr w:type="gramEnd"/>
      <w:r w:rsidRPr="00907351">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5"/>
      <w:r w:rsidRPr="00907351">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5"/>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6" w:name="_Toc134019828"/>
      <w:r w:rsidRPr="00907351">
        <w:rPr>
          <w:rFonts w:ascii="Times New Roman" w:hAnsi="Times New Roman" w:cs="Times New Roman"/>
          <w:b w:val="0"/>
          <w:color w:val="auto"/>
          <w:sz w:val="28"/>
          <w:szCs w:val="28"/>
        </w:rPr>
        <w:t>в ходе предоставления муниципальной услуги</w:t>
      </w:r>
      <w:bookmarkEnd w:id="6"/>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дубликата документа, </w:t>
            </w:r>
            <w:r w:rsidRPr="00907351">
              <w:rPr>
                <w:rFonts w:ascii="Times New Roman" w:hAnsi="Times New Roman" w:cs="Times New Roman"/>
                <w:sz w:val="28"/>
                <w:szCs w:val="28"/>
              </w:rPr>
              <w:lastRenderedPageBreak/>
              <w:t>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5"/>
      <w:bookmarkEnd w:id="7"/>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6"/>
      <w:bookmarkEnd w:id="8"/>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9" w:name="P637"/>
      <w:bookmarkEnd w:id="9"/>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Дата рождения </w:t>
            </w:r>
            <w:r w:rsidRPr="00907351">
              <w:rPr>
                <w:rFonts w:ascii="Times New Roman" w:eastAsiaTheme="minorHAnsi" w:hAnsi="Times New Roman" w:cs="Times New Roman"/>
                <w:color w:val="auto"/>
                <w:sz w:val="28"/>
                <w:szCs w:val="28"/>
                <w:lang w:eastAsia="en-US" w:bidi="ar-SA"/>
              </w:rPr>
              <w:lastRenderedPageBreak/>
              <w:t>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Место рождения </w:t>
            </w:r>
            <w:r w:rsidRPr="00907351">
              <w:rPr>
                <w:rFonts w:ascii="Times New Roman" w:eastAsiaTheme="minorHAnsi" w:hAnsi="Times New Roman" w:cs="Times New Roman"/>
                <w:color w:val="auto"/>
                <w:sz w:val="28"/>
                <w:szCs w:val="28"/>
                <w:lang w:eastAsia="en-US" w:bidi="ar-SA"/>
              </w:rPr>
              <w:lastRenderedPageBreak/>
              <w:t>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Место и дата регистрации акта </w:t>
            </w:r>
            <w:r w:rsidRPr="00907351">
              <w:rPr>
                <w:rFonts w:ascii="Times New Roman" w:eastAsiaTheme="minorHAnsi" w:hAnsi="Times New Roman" w:cs="Times New Roman"/>
                <w:color w:val="auto"/>
                <w:sz w:val="28"/>
                <w:szCs w:val="28"/>
                <w:lang w:eastAsia="en-US" w:bidi="ar-SA"/>
              </w:rPr>
              <w:lastRenderedPageBreak/>
              <w:t>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области от 13.05.2008 № 25-ОЗ «О регулировании </w:t>
      </w:r>
      <w:proofErr w:type="gramStart"/>
      <w:r w:rsidRPr="00907351">
        <w:rPr>
          <w:rFonts w:ascii="Times New Roman" w:eastAsiaTheme="minorHAnsi" w:hAnsi="Times New Roman" w:cs="Times New Roman"/>
          <w:color w:val="auto"/>
          <w:sz w:val="28"/>
          <w:szCs w:val="28"/>
          <w:lang w:eastAsia="en-US" w:bidi="ar-SA"/>
        </w:rPr>
        <w:t>земельных</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w:t>
            </w:r>
            <w:r w:rsidR="003F6E0F" w:rsidRPr="00907351">
              <w:rPr>
                <w:rFonts w:ascii="Times New Roman" w:eastAsiaTheme="minorHAnsi" w:hAnsi="Times New Roman" w:cs="Times New Roman"/>
                <w:color w:val="auto"/>
                <w:sz w:val="28"/>
                <w:szCs w:val="28"/>
                <w:lang w:eastAsia="en-US" w:bidi="ar-SA"/>
              </w:rPr>
              <w:lastRenderedPageBreak/>
              <w:t>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lastRenderedPageBreak/>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D7099C">
      <w:pPr>
        <w:widowControl/>
        <w:autoSpaceDE w:val="0"/>
        <w:autoSpaceDN w:val="0"/>
        <w:adjustRightInd w:val="0"/>
        <w:ind w:firstLine="709"/>
        <w:jc w:val="both"/>
        <w:rPr>
          <w:sz w:val="28"/>
          <w:szCs w:val="28"/>
        </w:rPr>
      </w:pPr>
    </w:p>
    <w:sectPr w:rsidR="001571D6" w:rsidRPr="00907351" w:rsidSect="00295767">
      <w:headerReference w:type="default" r:id="rId9"/>
      <w:pgSz w:w="11900" w:h="16840"/>
      <w:pgMar w:top="0" w:right="567" w:bottom="0"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4DB" w:rsidRDefault="006964DB">
      <w:r>
        <w:separator/>
      </w:r>
    </w:p>
  </w:endnote>
  <w:endnote w:type="continuationSeparator" w:id="0">
    <w:p w:rsidR="006964DB" w:rsidRDefault="0069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4DB" w:rsidRDefault="006964DB">
      <w:r>
        <w:separator/>
      </w:r>
    </w:p>
  </w:footnote>
  <w:footnote w:type="continuationSeparator" w:id="0">
    <w:p w:rsidR="006964DB" w:rsidRDefault="00696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8822F2" w:rsidRDefault="008822F2">
        <w:pPr>
          <w:pStyle w:val="af0"/>
          <w:jc w:val="center"/>
        </w:pPr>
        <w:r>
          <w:fldChar w:fldCharType="begin"/>
        </w:r>
        <w:r>
          <w:instrText>PAGE   \* MERGEFORMAT</w:instrText>
        </w:r>
        <w:r>
          <w:fldChar w:fldCharType="separate"/>
        </w:r>
        <w:r w:rsidR="00BB2C9C">
          <w:rPr>
            <w:noProof/>
          </w:rPr>
          <w:t>22</w:t>
        </w:r>
        <w:r>
          <w:fldChar w:fldCharType="end"/>
        </w:r>
      </w:p>
    </w:sdtContent>
  </w:sdt>
  <w:p w:rsidR="008822F2" w:rsidRDefault="008822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95767"/>
    <w:rsid w:val="002A567B"/>
    <w:rsid w:val="002B1E2F"/>
    <w:rsid w:val="002D09C5"/>
    <w:rsid w:val="002E0A18"/>
    <w:rsid w:val="00302B96"/>
    <w:rsid w:val="00305027"/>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964DB"/>
    <w:rsid w:val="006A457A"/>
    <w:rsid w:val="006A55A5"/>
    <w:rsid w:val="006A563C"/>
    <w:rsid w:val="006C79AB"/>
    <w:rsid w:val="006E49C9"/>
    <w:rsid w:val="0070037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822F2"/>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2C9C"/>
    <w:rsid w:val="00BB308E"/>
    <w:rsid w:val="00BC6FDA"/>
    <w:rsid w:val="00BE5A64"/>
    <w:rsid w:val="00BF591E"/>
    <w:rsid w:val="00C048DB"/>
    <w:rsid w:val="00C10E02"/>
    <w:rsid w:val="00C502C4"/>
    <w:rsid w:val="00C70C5B"/>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46588"/>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FBF5-5C4F-45DA-8E45-D860773A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2549</TotalTime>
  <Pages>58</Pages>
  <Words>19934</Words>
  <Characters>113630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127</cp:revision>
  <dcterms:created xsi:type="dcterms:W3CDTF">2023-05-11T14:18:00Z</dcterms:created>
  <dcterms:modified xsi:type="dcterms:W3CDTF">2023-10-19T12:54:00Z</dcterms:modified>
</cp:coreProperties>
</file>